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Calibri" w:hAnsi="Calibri" w:cs="Calibri"/>
          <w:b/>
          <w:bCs/>
          <w:sz w:val="32"/>
          <w:szCs w:val="40"/>
          <w:lang w:val="en-US" w:eastAsia="zh-CN"/>
        </w:rPr>
      </w:pPr>
      <w:r>
        <w:rPr>
          <w:rFonts w:hint="default" w:ascii="Calibri" w:hAnsi="Calibri" w:cs="Calibri"/>
          <w:b/>
          <w:bCs/>
          <w:sz w:val="32"/>
          <w:szCs w:val="40"/>
          <w:lang w:val="en-US" w:eastAsia="zh-CN"/>
        </w:rPr>
        <w:t>一、</w:t>
      </w:r>
      <w:r>
        <w:rPr>
          <w:rFonts w:hint="eastAsia" w:ascii="Calibri" w:hAnsi="Calibri" w:cs="Calibri"/>
          <w:b/>
          <w:bCs/>
          <w:sz w:val="32"/>
          <w:szCs w:val="40"/>
          <w:lang w:val="en-US" w:eastAsia="zh-CN"/>
        </w:rPr>
        <w:t>资格审查要求：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（1）具备检验资质：营业执照、医疗执业许可证、实体瘤基因检验的实验室资质。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（2）满足外送标本运输生物安全要求：肿瘤基因检测标本为组织/血液，特别是组织样本具有唯一性，需要保证样本生物安全，合作单位需要具有完整的冷链运输体系；并且合作单位的全职物流作业人员（提供社保证明）需要经过公司严格培训并取得相关作业许可。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检验结果质量保障：为了保证结果的准确性以及可追溯性，医院单位必须本单位做，不允许外包给其他第三方检测公司。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  <w:t>二、遴选原则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:</w:t>
      </w:r>
    </w:p>
    <w:p>
      <w:pPr>
        <w:ind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在满足资格审查要求后，通过对各家提供的套餐设置内容、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检测方法、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套餐价格、出报告时间、提供额外增值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服务5个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维度进行评分。</w:t>
      </w:r>
    </w:p>
    <w:p>
      <w:pPr>
        <w:rPr>
          <w:rFonts w:hint="default" w:ascii="宋体" w:hAnsi="宋体" w:eastAsia="宋体" w:cs="宋体"/>
          <w:b/>
          <w:bCs/>
          <w:color w:val="36363D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36363D"/>
          <w:sz w:val="28"/>
          <w:szCs w:val="36"/>
          <w:lang w:val="en-US" w:eastAsia="zh-CN"/>
        </w:rPr>
        <w:t>三、检测项目: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tbl>
      <w:tblPr>
        <w:tblStyle w:val="3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91"/>
        <w:gridCol w:w="2100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  <w:vMerge w:val="restart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癌种</w:t>
            </w:r>
          </w:p>
        </w:tc>
        <w:tc>
          <w:tcPr>
            <w:tcW w:w="2391" w:type="dxa"/>
            <w:vMerge w:val="restart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9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医疗价格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组织（ FFPE）</w:t>
            </w: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血液（ctDNA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肺癌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肝癌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胃癌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结直肠癌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乳腺癌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食管癌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甲状腺癌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子宫内膜癌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宫颈癌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前列腺癌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胰腺癌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卵巢癌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膀胱癌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ZGM1MmM2Zjg3NjVjMjAwZGNiNjRhODhhYTRkYWUifQ=="/>
  </w:docVars>
  <w:rsids>
    <w:rsidRoot w:val="00000000"/>
    <w:rsid w:val="512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402</Characters>
  <Paragraphs>270</Paragraphs>
  <TotalTime>16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2024-05-26T14:14:00Z</dcterms:created>
  <dc:creator>23151</dc:creator>
  <cp:lastModifiedBy>输，也要豪迈的笑</cp:lastModifiedBy>
  <dcterms:modified xsi:type="dcterms:W3CDTF">2024-05-26T22:57:25Z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C8F222708B04418A926ABE95DF0C0644_13</vt:lpwstr>
  </property>
</Properties>
</file>